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150" w:line="240" w:lineRule="auto"/>
        <w:ind/>
        <w:jc w:val="center"/>
        <w:rPr>
          <w:rFonts w:ascii="Arial" w:hAnsi="Arial"/>
          <w:b w:val="1"/>
          <w:color w:val="222222"/>
          <w:sz w:val="21"/>
          <w:shd w:fill="FFFFCC" w:val="clear"/>
        </w:rPr>
      </w:pPr>
      <w:r>
        <w:drawing>
          <wp:inline>
            <wp:extent cx="5940425" cy="8130957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940425" cy="813095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2.2. Основными задачами ОРКСЭ являются:</w:t>
      </w:r>
    </w:p>
    <w:p w14:paraId="05000000">
      <w:pPr>
        <w:numPr>
          <w:ilvl w:val="0"/>
          <w:numId w:val="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14:paraId="06000000">
      <w:pPr>
        <w:numPr>
          <w:ilvl w:val="0"/>
          <w:numId w:val="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развитие представлений обучающихся о значении нравственных норм и ценностей в жизни личности, семьи, общества;</w:t>
      </w:r>
    </w:p>
    <w:p w14:paraId="07000000">
      <w:pPr>
        <w:numPr>
          <w:ilvl w:val="0"/>
          <w:numId w:val="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учетом мировоззренческих и культурных особенностей и потребностей семьи;</w:t>
      </w:r>
    </w:p>
    <w:p w14:paraId="08000000">
      <w:pPr>
        <w:numPr>
          <w:ilvl w:val="0"/>
          <w:numId w:val="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</w:t>
      </w:r>
    </w:p>
    <w:p w14:paraId="09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222222"/>
          <w:sz w:val="24"/>
        </w:rPr>
      </w:pPr>
      <w:r>
        <w:rPr>
          <w:rFonts w:ascii="Times New Roman" w:hAnsi="Times New Roman"/>
          <w:b w:val="1"/>
          <w:color w:val="222222"/>
          <w:sz w:val="24"/>
        </w:rPr>
        <w:t>3. Организация изучения ОРКСЭ</w:t>
      </w:r>
    </w:p>
    <w:p w14:paraId="0A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3.1. ОРКСЭ реализуется через модули, включенные в содержание ООП НОО.</w:t>
      </w:r>
    </w:p>
    <w:p w14:paraId="0B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 С целью организации изучения ОРКСЭ и определения набора модулей, входящих в ее состав, школа проводит опрос родителей (законных представителей) по вопросу выбора учебных предметов, курсов, дисциплин (модулей) мировоззренческой воспитательной направленности в соответствии с регламентом, направленным </w:t>
      </w:r>
      <w:r>
        <w:rPr>
          <w:rFonts w:ascii="Times New Roman" w:hAnsi="Times New Roman"/>
          <w:color w:val="222222"/>
          <w:sz w:val="24"/>
        </w:rPr>
        <w:fldChar w:fldCharType="begin"/>
      </w:r>
      <w:r>
        <w:rPr>
          <w:rFonts w:ascii="Times New Roman" w:hAnsi="Times New Roman"/>
          <w:color w:val="222222"/>
          <w:sz w:val="24"/>
        </w:rPr>
        <w:instrText>HYPERLINK "https://1obraz.ru/#/document/97/98475/"</w:instrText>
      </w:r>
      <w:r>
        <w:rPr>
          <w:rFonts w:ascii="Times New Roman" w:hAnsi="Times New Roman"/>
          <w:color w:val="222222"/>
          <w:sz w:val="24"/>
        </w:rPr>
        <w:fldChar w:fldCharType="separate"/>
      </w:r>
      <w:r>
        <w:rPr>
          <w:rFonts w:ascii="Times New Roman" w:hAnsi="Times New Roman"/>
          <w:color w:val="222222"/>
          <w:sz w:val="24"/>
        </w:rPr>
        <w:t>письмом Минобрнауки от 31.03.2015 № 08-461</w:t>
      </w:r>
      <w:r>
        <w:rPr>
          <w:rFonts w:ascii="Times New Roman" w:hAnsi="Times New Roman"/>
          <w:color w:val="222222"/>
          <w:sz w:val="24"/>
        </w:rPr>
        <w:fldChar w:fldCharType="end"/>
      </w:r>
      <w:r>
        <w:rPr>
          <w:rFonts w:ascii="Times New Roman" w:hAnsi="Times New Roman"/>
          <w:color w:val="222222"/>
          <w:sz w:val="24"/>
        </w:rPr>
        <w:t>.</w:t>
      </w:r>
    </w:p>
    <w:p w14:paraId="0C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3.3. Не менее чем за неделю до даты проведения опроса родителей (законных представителей) классным руководителем или иным лицом по поручению директора школы до родителей (законных представителей) обучающихся должна быть доведена информация о выборе модуля ОРКСЭ по образцу из приложения к Положению. Информация может быть передана родителям (законным представителям) лично, через обучающихся или дистанционно. Классный руководитель обязан проверить доведение информации до родителей (законных представителей) обучающихся в своем классе.</w:t>
      </w:r>
    </w:p>
    <w:p w14:paraId="0D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3.4. В случае если конкретный модуль ОРКСЭ выбрал только один родитель (законный представитель), школа вправе заключить договор о сетевой форме реализации модуля ОРКСЭ с другой образовательной организацией.</w:t>
      </w:r>
    </w:p>
    <w:p w14:paraId="0E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3.5. Занятия по ОРКСЭ ведут учителя школы, которые прошли специальную подготовку.</w:t>
      </w:r>
    </w:p>
    <w:p w14:paraId="0F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3.6. При изучении ОРКСЭ используются учебники, входящие в федеральный перечень учебников, рекомендуемых к использованию и имеющих государственную аккредитацию образовательных программ начального общего, основного общего, среднего общего образования, и учебные пособия, допущенные к использованию при реализации образовательных программ.</w:t>
      </w:r>
    </w:p>
    <w:p w14:paraId="10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3.7. При преподавании ОРКСЭ учителя руководствуются </w:t>
      </w:r>
      <w:r>
        <w:rPr>
          <w:rFonts w:ascii="Times New Roman" w:hAnsi="Times New Roman"/>
          <w:color w:val="222222"/>
          <w:sz w:val="24"/>
        </w:rPr>
        <w:fldChar w:fldCharType="begin"/>
      </w:r>
      <w:r>
        <w:rPr>
          <w:rFonts w:ascii="Times New Roman" w:hAnsi="Times New Roman"/>
          <w:color w:val="222222"/>
          <w:sz w:val="24"/>
        </w:rPr>
        <w:instrText>HYPERLINK "https://1obraz.ru/#/document/99/902384503/"</w:instrText>
      </w:r>
      <w:r>
        <w:rPr>
          <w:rFonts w:ascii="Times New Roman" w:hAnsi="Times New Roman"/>
          <w:color w:val="222222"/>
          <w:sz w:val="24"/>
        </w:rPr>
        <w:fldChar w:fldCharType="separate"/>
      </w:r>
      <w:r>
        <w:rPr>
          <w:rFonts w:ascii="Times New Roman" w:hAnsi="Times New Roman"/>
          <w:color w:val="222222"/>
          <w:sz w:val="24"/>
        </w:rPr>
        <w:t>письмом Минобрнауки от 22.08.2012 № 08-250</w:t>
      </w:r>
      <w:r>
        <w:rPr>
          <w:rFonts w:ascii="Times New Roman" w:hAnsi="Times New Roman"/>
          <w:color w:val="222222"/>
          <w:sz w:val="24"/>
        </w:rPr>
        <w:fldChar w:fldCharType="end"/>
      </w:r>
      <w:r>
        <w:rPr>
          <w:rFonts w:ascii="Times New Roman" w:hAnsi="Times New Roman"/>
          <w:color w:val="222222"/>
          <w:sz w:val="24"/>
        </w:rPr>
        <w:t>.</w:t>
      </w:r>
    </w:p>
    <w:p w14:paraId="11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222222"/>
          <w:sz w:val="24"/>
        </w:rPr>
      </w:pPr>
      <w:r>
        <w:rPr>
          <w:rFonts w:ascii="Times New Roman" w:hAnsi="Times New Roman"/>
          <w:b w:val="1"/>
          <w:color w:val="222222"/>
          <w:sz w:val="24"/>
        </w:rPr>
        <w:t>4. Права и обязанности родителей (законных представителей)</w:t>
      </w:r>
    </w:p>
    <w:p w14:paraId="12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4.1. Родители (законные представители) обучающихся осуществляют выбор одного из модулей ОРКСЭ, включенных в основные общеобразовательные программы.</w:t>
      </w:r>
    </w:p>
    <w:p w14:paraId="13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4.2. Родители (законные представители) обучающихся вправе выбрать изучение модуля ОРКСЭ в форме семейного образования.</w:t>
      </w:r>
    </w:p>
    <w:p w14:paraId="14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4.3. Родители (законные представители) обязаны создавать благоприятные условия для выполнения домашних заданий и образования ребенка.</w:t>
      </w:r>
    </w:p>
    <w:p w14:paraId="15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4.4. Родители (законные представители) обучающихся не вправе отказаться от выбора модуля ОРКСЭ, который будет изучать их ребенок, так как обучающийся обязан освоить </w:t>
      </w:r>
      <w:r>
        <w:rPr>
          <w:rFonts w:ascii="Times New Roman" w:hAnsi="Times New Roman"/>
          <w:color w:val="222222"/>
          <w:sz w:val="24"/>
        </w:rPr>
        <w:t>образовательную программу в полном объеме и не может отказаться от изучения обязательной предметной области ОРКСЭ.</w:t>
      </w:r>
    </w:p>
    <w:p w14:paraId="16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222222"/>
          <w:sz w:val="24"/>
        </w:rPr>
      </w:pPr>
      <w:r>
        <w:rPr>
          <w:rFonts w:ascii="Times New Roman" w:hAnsi="Times New Roman"/>
          <w:b w:val="1"/>
          <w:color w:val="222222"/>
          <w:sz w:val="24"/>
        </w:rPr>
        <w:t>5. Система оценивания учебных достижений обучающихся</w:t>
      </w:r>
    </w:p>
    <w:p w14:paraId="17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5.1. Система оценки достижений планируемых результатов освоения курса ОРКСЭ должна ориентировать образовательный процесс на духовно-нравственное развитие и воспитание учащихся, предусматривать использование разнообразных методов и форм.</w:t>
      </w:r>
    </w:p>
    <w:p w14:paraId="18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5.2. Уроки по модулям ОРКСЭ – безотметочные, то есть не предусматривают выставления отметок в журнал успеваемости, в том числе электронный.</w:t>
      </w:r>
    </w:p>
    <w:p w14:paraId="19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5.3. Объектом оценивания является нравственная и культурологическая компетентность обучающегося, рассматриваемая как универсальная способность человека понимать значения нравственных норм, правил морали, веры и религии в жизни человека, семьи, общества, воспитание потребности к духовному развитию.</w:t>
      </w:r>
    </w:p>
    <w:p w14:paraId="1A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5.4. Оценка должна решать как минимум две основные задачи: подведение итогов работы и сравнение обучающегося с самим собой и с другими обучающимися.</w:t>
      </w:r>
    </w:p>
    <w:p w14:paraId="1B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5.5. Для оперативного контроля знаний и умений используются средства контроля, определенные ООП НОО, в том числе:</w:t>
      </w:r>
    </w:p>
    <w:p w14:paraId="1C000000">
      <w:pPr>
        <w:numPr>
          <w:ilvl w:val="0"/>
          <w:numId w:val="2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систематизированные упражнения;</w:t>
      </w:r>
    </w:p>
    <w:p w14:paraId="1D000000">
      <w:pPr>
        <w:numPr>
          <w:ilvl w:val="0"/>
          <w:numId w:val="2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тестовые задания разных типов;</w:t>
      </w:r>
    </w:p>
    <w:p w14:paraId="1E000000">
      <w:pPr>
        <w:numPr>
          <w:ilvl w:val="0"/>
          <w:numId w:val="2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технологии портфолио: составление портфеля творческих работ и достижений обучающегося с целью самооценки своей деятельности, самопроверки действий по овладению учебным материалом.</w:t>
      </w:r>
    </w:p>
    <w:p w14:paraId="1F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5.6. Возможны следующие методы оценивания:</w:t>
      </w:r>
    </w:p>
    <w:p w14:paraId="20000000">
      <w:pPr>
        <w:numPr>
          <w:ilvl w:val="0"/>
          <w:numId w:val="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система «зачет-незачет»;</w:t>
      </w:r>
    </w:p>
    <w:p w14:paraId="21000000">
      <w:pPr>
        <w:numPr>
          <w:ilvl w:val="0"/>
          <w:numId w:val="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вербальное поощрение, похвала, одобрение, интерес одноклассников и членов семьи к результатам деятельности обучающегося.</w:t>
      </w:r>
    </w:p>
    <w:p w14:paraId="22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5.7. Обучающиеся должны быть ориентированы в большей степени на самооценку. Оценка учителем осуществляется в диалоге с обучающимся и может быть изменена, уточнена.</w:t>
      </w:r>
    </w:p>
    <w:p w14:paraId="23000000">
      <w:pPr>
        <w:spacing w:after="150" w:line="240" w:lineRule="auto"/>
        <w:ind/>
        <w:jc w:val="right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Приложение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t>к Положению об особенностях преподавания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t>предметной области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t>«Основы религиозных культур и светской этики», утвержденному </w:t>
      </w:r>
      <w:r>
        <w:rPr>
          <w:rFonts w:ascii="Times New Roman" w:hAnsi="Times New Roman"/>
          <w:color w:val="222222"/>
          <w:sz w:val="24"/>
        </w:rPr>
        <w:t>30</w:t>
      </w:r>
      <w:r>
        <w:rPr>
          <w:rFonts w:ascii="Times New Roman" w:hAnsi="Times New Roman"/>
          <w:color w:val="222222"/>
          <w:sz w:val="24"/>
        </w:rPr>
        <w:t>.08.202</w:t>
      </w:r>
      <w:r>
        <w:rPr>
          <w:rFonts w:ascii="Times New Roman" w:hAnsi="Times New Roman"/>
          <w:color w:val="222222"/>
          <w:sz w:val="24"/>
        </w:rPr>
        <w:t>3</w:t>
      </w:r>
      <w:bookmarkStart w:id="1" w:name="_GoBack"/>
      <w:bookmarkEnd w:id="1"/>
    </w:p>
    <w:p w14:paraId="24000000">
      <w:pPr>
        <w:spacing w:after="150" w:line="240" w:lineRule="auto"/>
        <w:ind/>
        <w:jc w:val="center"/>
        <w:rPr>
          <w:rFonts w:ascii="Times New Roman" w:hAnsi="Times New Roman"/>
          <w:color w:val="222222"/>
          <w:sz w:val="24"/>
        </w:rPr>
      </w:pPr>
    </w:p>
    <w:p w14:paraId="25000000">
      <w:pPr>
        <w:spacing w:after="150" w:line="240" w:lineRule="auto"/>
        <w:ind/>
        <w:jc w:val="center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Информация о преподавании в 4-х классах образовательных организаций комплексного учебного курса «Основы религиозных культур и светской этики»</w:t>
      </w:r>
    </w:p>
    <w:p w14:paraId="26000000">
      <w:pPr>
        <w:spacing w:after="150" w:line="240" w:lineRule="auto"/>
        <w:ind/>
        <w:jc w:val="center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Уважаемые родители!</w:t>
      </w:r>
    </w:p>
    <w:p w14:paraId="27000000">
      <w:pPr>
        <w:spacing w:after="0" w:line="240" w:lineRule="auto"/>
        <w:ind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14:paraId="28000000">
      <w:pPr>
        <w:spacing w:after="0" w:line="240" w:lineRule="auto"/>
        <w:ind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«Основы православной культуры»;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t>«Основы исламской культуры»;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t>«Основы буддийской культуры»;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t>«Основы иудейской культуры»;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t>«Основы мировых религиозных культур»;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t>«Основы светской этики».</w:t>
      </w:r>
    </w:p>
    <w:p w14:paraId="29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Преподавание направлено на воспитание учащихся, формирование прежде всего 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определенной религиозной культуры, или мировых религиозных культур, или основ </w:t>
      </w:r>
      <w:r>
        <w:rPr>
          <w:rFonts w:ascii="Times New Roman" w:hAnsi="Times New Roman"/>
          <w:color w:val="222222"/>
          <w:sz w:val="24"/>
        </w:rPr>
        <w:t>согласно законодательству Российской Федерации,</w:t>
      </w:r>
      <w:r>
        <w:rPr>
          <w:rFonts w:ascii="Times New Roman" w:hAnsi="Times New Roman"/>
          <w:color w:val="222222"/>
          <w:sz w:val="24"/>
        </w:rPr>
        <w:t xml:space="preserve"> осуществляется исключительно родителями (законными представителями) несовершеннолетнего учащегося.</w:t>
      </w:r>
      <w:r>
        <w:rPr>
          <w:rFonts w:ascii="Times New Roman" w:hAnsi="Times New Roman"/>
          <w:color w:val="222222"/>
          <w:sz w:val="24"/>
        </w:rPr>
        <w:t xml:space="preserve"> </w:t>
      </w:r>
      <w:r>
        <w:rPr>
          <w:rFonts w:ascii="Times New Roman" w:hAnsi="Times New Roman"/>
          <w:color w:val="222222"/>
          <w:sz w:val="24"/>
        </w:rPr>
        <w:t>При этом вы можете посоветоваться с ребенком и учесть его личное мнение.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Присутствие на собрании по крайней мере одного из родителей и заполнение личного заявления о выборе обязательно.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Отказ от изучения любого из шести модулей не допускается.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Дата, время, место проведения родительского собрания:</w:t>
      </w:r>
    </w:p>
    <w:p w14:paraId="30000000">
      <w:pPr>
        <w:spacing w:after="150" w:line="240" w:lineRule="auto"/>
        <w:ind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______________________________________________________________________</w:t>
      </w:r>
    </w:p>
    <w:p w14:paraId="31000000">
      <w:pPr>
        <w:spacing w:after="150" w:line="240" w:lineRule="auto"/>
        <w:ind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С уважением, администрация МБОУ </w:t>
      </w:r>
      <w:r>
        <w:rPr>
          <w:rFonts w:ascii="Times New Roman" w:hAnsi="Times New Roman"/>
          <w:color w:val="222222"/>
          <w:sz w:val="24"/>
        </w:rPr>
        <w:t>СОШ №11</w:t>
      </w:r>
    </w:p>
    <w:p w14:paraId="32000000">
      <w:pPr>
        <w:rPr>
          <w:rFonts w:ascii="Times New Roman" w:hAnsi="Times New Roman"/>
          <w:color w:val="222222"/>
          <w:sz w:val="24"/>
        </w:rPr>
      </w:pPr>
    </w:p>
    <w:p w14:paraId="33000000">
      <w:pPr>
        <w:rPr>
          <w:rFonts w:ascii="Times New Roman" w:hAnsi="Times New Roman"/>
          <w:color w:val="222222"/>
          <w:sz w:val="24"/>
        </w:rPr>
      </w:pPr>
    </w:p>
    <w:sectPr>
      <w:footerReference r:id="rId1" w:type="default"/>
      <w:pgSz w:h="16838" w:orient="portrait" w:w="11906"/>
      <w:pgMar w:bottom="1134" w:footer="510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fill"/>
    <w:basedOn w:val="Style_9"/>
    <w:link w:val="Style_8_ch"/>
  </w:style>
  <w:style w:styleId="Style_8_ch" w:type="character">
    <w:name w:val="fill"/>
    <w:basedOn w:val="Style_9_ch"/>
    <w:link w:val="Style_8"/>
  </w:style>
  <w:style w:styleId="Style_10" w:type="paragraph">
    <w:name w:val="header"/>
    <w:basedOn w:val="Style_2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2_ch"/>
    <w:link w:val="Style_10"/>
  </w:style>
  <w:style w:styleId="Style_11" w:type="paragraph">
    <w:name w:val="Strong"/>
    <w:basedOn w:val="Style_9"/>
    <w:link w:val="Style_11_ch"/>
    <w:rPr>
      <w:b w:val="1"/>
    </w:rPr>
  </w:style>
  <w:style w:styleId="Style_11_ch" w:type="character">
    <w:name w:val="Strong"/>
    <w:basedOn w:val="Style_9_ch"/>
    <w:link w:val="Style_11"/>
    <w:rPr>
      <w:b w:val="1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9"/>
    <w:link w:val="Style_15_ch"/>
    <w:rPr>
      <w:color w:val="0000FF"/>
      <w:u w:val="single"/>
    </w:rPr>
  </w:style>
  <w:style w:styleId="Style_15_ch" w:type="character">
    <w:name w:val="Hyperlink"/>
    <w:basedOn w:val="Style_9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sfwc"/>
    <w:basedOn w:val="Style_9"/>
    <w:link w:val="Style_19_ch"/>
  </w:style>
  <w:style w:styleId="Style_19_ch" w:type="character">
    <w:name w:val="sfwc"/>
    <w:basedOn w:val="Style_9_ch"/>
    <w:link w:val="Style_19"/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Balloon Text"/>
    <w:basedOn w:val="Style_2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2_ch"/>
    <w:link w:val="Style_21"/>
    <w:rPr>
      <w:rFonts w:ascii="Segoe UI" w:hAnsi="Segoe UI"/>
      <w:sz w:val="1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3" w:type="paragraph">
    <w:name w:val="Normal (Web)"/>
    <w:basedOn w:val="Style_2"/>
    <w:link w:val="Style_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Normal (Web)"/>
    <w:basedOn w:val="Style_2_ch"/>
    <w:link w:val="Style_23"/>
    <w:rPr>
      <w:rFonts w:ascii="Times New Roman" w:hAnsi="Times New Roman"/>
      <w:sz w:val="24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2023-10-10T04:08:27Z</dcterms:modified>
</cp:coreProperties>
</file>