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spacing w:after="0" w:line="240" w:lineRule="auto"/>
        <w:ind/>
        <w:rPr>
          <w:rFonts w:ascii="Times New Roman" w:hAnsi="Times New Roman"/>
          <w:b w:val="1"/>
          <w:color w:val="222222"/>
          <w:sz w:val="24"/>
        </w:rPr>
      </w:pPr>
      <w:r>
        <w:drawing>
          <wp:inline>
            <wp:extent cx="5940425" cy="8169831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2"/>
                    <a:stretch/>
                  </pic:blipFill>
                  <pic:spPr>
                    <a:xfrm flipH="false" flipV="false" rot="0">
                      <a:ext cx="5940425" cy="8169831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4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b w:val="1"/>
          <w:color w:val="222222"/>
          <w:sz w:val="24"/>
        </w:rPr>
        <w:t>3. Задачи и функции Комиссии</w:t>
      </w:r>
    </w:p>
    <w:p w14:paraId="05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3.1. Задачами Комиссии являются:</w:t>
      </w:r>
    </w:p>
    <w:p w14:paraId="06000000">
      <w:pPr>
        <w:numPr>
          <w:ilvl w:val="0"/>
          <w:numId w:val="1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решение</w:t>
      </w:r>
      <w:r>
        <w:rPr>
          <w:rFonts w:ascii="Times New Roman" w:hAnsi="Times New Roman"/>
          <w:color w:val="222222"/>
          <w:sz w:val="24"/>
        </w:rPr>
        <w:t xml:space="preserve"> вопросов качественного и здорового питания обучающихся;</w:t>
      </w:r>
    </w:p>
    <w:p w14:paraId="07000000">
      <w:pPr>
        <w:numPr>
          <w:ilvl w:val="0"/>
          <w:numId w:val="1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про</w:t>
      </w:r>
      <w:r>
        <w:rPr>
          <w:rFonts w:ascii="Times New Roman" w:hAnsi="Times New Roman"/>
          <w:color w:val="222222"/>
          <w:sz w:val="24"/>
        </w:rPr>
        <w:t>паганда</w:t>
      </w:r>
      <w:r>
        <w:rPr>
          <w:rFonts w:ascii="Times New Roman" w:hAnsi="Times New Roman"/>
          <w:color w:val="222222"/>
          <w:sz w:val="24"/>
        </w:rPr>
        <w:t xml:space="preserve"> основ здорового питания.</w:t>
      </w:r>
    </w:p>
    <w:p w14:paraId="08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3.2. Комиссия осуществляет следующие оценочные функции:</w:t>
      </w:r>
    </w:p>
    <w:p w14:paraId="09000000">
      <w:pPr>
        <w:numPr>
          <w:ilvl w:val="0"/>
          <w:numId w:val="2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соответствие</w:t>
      </w:r>
      <w:r>
        <w:rPr>
          <w:rFonts w:ascii="Times New Roman" w:hAnsi="Times New Roman"/>
          <w:color w:val="222222"/>
          <w:sz w:val="24"/>
        </w:rPr>
        <w:t xml:space="preserve"> реализуемых блюд утвержденному меню</w:t>
      </w:r>
      <w:r>
        <w:rPr>
          <w:rFonts w:ascii="Times New Roman" w:hAnsi="Times New Roman"/>
          <w:color w:val="222222"/>
          <w:sz w:val="24"/>
        </w:rPr>
        <w:t>;</w:t>
      </w:r>
    </w:p>
    <w:p w14:paraId="0A000000">
      <w:pPr>
        <w:numPr>
          <w:ilvl w:val="0"/>
          <w:numId w:val="2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санитарно</w:t>
      </w:r>
      <w:r>
        <w:rPr>
          <w:rFonts w:ascii="Times New Roman" w:hAnsi="Times New Roman"/>
          <w:color w:val="222222"/>
          <w:sz w:val="24"/>
        </w:rPr>
        <w:t>-техническое содержание помещений для приема пищи, состояние обеденной мебели, столовой посуды и т. п.;</w:t>
      </w:r>
    </w:p>
    <w:p w14:paraId="0B000000">
      <w:pPr>
        <w:numPr>
          <w:ilvl w:val="0"/>
          <w:numId w:val="2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условия</w:t>
      </w:r>
      <w:r>
        <w:rPr>
          <w:rFonts w:ascii="Times New Roman" w:hAnsi="Times New Roman"/>
          <w:color w:val="222222"/>
          <w:sz w:val="24"/>
        </w:rPr>
        <w:t xml:space="preserve"> соблюдения правил личной гигиены обучающимися;</w:t>
      </w:r>
    </w:p>
    <w:p w14:paraId="0C000000">
      <w:pPr>
        <w:numPr>
          <w:ilvl w:val="0"/>
          <w:numId w:val="2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наличие</w:t>
      </w:r>
      <w:r>
        <w:rPr>
          <w:rFonts w:ascii="Times New Roman" w:hAnsi="Times New Roman"/>
          <w:color w:val="222222"/>
          <w:sz w:val="24"/>
        </w:rPr>
        <w:t xml:space="preserve"> и состояние санитарной одежды у сотрудников, осуществляющих раздачу готовых блюд;</w:t>
      </w:r>
    </w:p>
    <w:p w14:paraId="0D000000">
      <w:pPr>
        <w:numPr>
          <w:ilvl w:val="0"/>
          <w:numId w:val="2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объем</w:t>
      </w:r>
      <w:r>
        <w:rPr>
          <w:rFonts w:ascii="Times New Roman" w:hAnsi="Times New Roman"/>
          <w:color w:val="222222"/>
          <w:sz w:val="24"/>
        </w:rPr>
        <w:t xml:space="preserve"> и вид пищевых отходов после приема пищи;</w:t>
      </w:r>
    </w:p>
    <w:p w14:paraId="0E000000">
      <w:pPr>
        <w:numPr>
          <w:ilvl w:val="0"/>
          <w:numId w:val="2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наличие</w:t>
      </w:r>
      <w:r>
        <w:rPr>
          <w:rFonts w:ascii="Times New Roman" w:hAnsi="Times New Roman"/>
          <w:color w:val="222222"/>
          <w:sz w:val="24"/>
        </w:rPr>
        <w:t xml:space="preserve"> лабораторно-инструментальных исследований качества и безопасности поступающей пищевой продукции и готовых блюд;</w:t>
      </w:r>
    </w:p>
    <w:p w14:paraId="0F000000">
      <w:pPr>
        <w:numPr>
          <w:ilvl w:val="0"/>
          <w:numId w:val="2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вкусовые</w:t>
      </w:r>
      <w:r>
        <w:rPr>
          <w:rFonts w:ascii="Times New Roman" w:hAnsi="Times New Roman"/>
          <w:color w:val="222222"/>
          <w:sz w:val="24"/>
        </w:rPr>
        <w:t xml:space="preserve"> предпочтения обучающихся , удовлетворенность ассортиментом и качеством потребляемых блюд по результатам выборочного опроса обучающихся с согласия их родителей или иных законных представителей;</w:t>
      </w:r>
    </w:p>
    <w:p w14:paraId="10000000">
      <w:pPr>
        <w:numPr>
          <w:ilvl w:val="0"/>
          <w:numId w:val="2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информирование</w:t>
      </w:r>
      <w:r>
        <w:rPr>
          <w:rFonts w:ascii="Times New Roman" w:hAnsi="Times New Roman"/>
          <w:color w:val="222222"/>
          <w:sz w:val="24"/>
        </w:rPr>
        <w:t xml:space="preserve"> родителей и обучающихся о здоровом питании.</w:t>
      </w:r>
    </w:p>
    <w:p w14:paraId="11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b w:val="1"/>
          <w:color w:val="222222"/>
          <w:sz w:val="24"/>
        </w:rPr>
        <w:t>4. Права и ответственность Комиссии</w:t>
      </w:r>
    </w:p>
    <w:p w14:paraId="12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4.1. Для осуществления возложенных функций Комиссии предоставлены следующие права:</w:t>
      </w:r>
    </w:p>
    <w:p w14:paraId="13000000">
      <w:pPr>
        <w:numPr>
          <w:ilvl w:val="0"/>
          <w:numId w:val="3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задавать</w:t>
      </w:r>
      <w:r>
        <w:rPr>
          <w:rFonts w:ascii="Times New Roman" w:hAnsi="Times New Roman"/>
          <w:color w:val="222222"/>
          <w:sz w:val="24"/>
        </w:rPr>
        <w:t xml:space="preserve"> вопросы и получать ответы от представителя администрации общеобразовательной организации и от представителя пищеблока в рамках их компетенций;</w:t>
      </w:r>
    </w:p>
    <w:p w14:paraId="14000000">
      <w:pPr>
        <w:numPr>
          <w:ilvl w:val="0"/>
          <w:numId w:val="3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заслушивать</w:t>
      </w:r>
      <w:r>
        <w:rPr>
          <w:rFonts w:ascii="Times New Roman" w:hAnsi="Times New Roman"/>
          <w:color w:val="222222"/>
          <w:sz w:val="24"/>
        </w:rPr>
        <w:t xml:space="preserve"> на своих заседаниях работников пищеблока и ответственного по обеспечению качественного питания обучающихся;</w:t>
      </w:r>
    </w:p>
    <w:p w14:paraId="15000000">
      <w:pPr>
        <w:numPr>
          <w:ilvl w:val="0"/>
          <w:numId w:val="3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вносить</w:t>
      </w:r>
      <w:r>
        <w:rPr>
          <w:rFonts w:ascii="Times New Roman" w:hAnsi="Times New Roman"/>
          <w:color w:val="222222"/>
          <w:sz w:val="24"/>
        </w:rPr>
        <w:t xml:space="preserve"> предложения по улучшению качества питания обучающихся;</w:t>
      </w:r>
    </w:p>
    <w:p w14:paraId="16000000">
      <w:pPr>
        <w:numPr>
          <w:ilvl w:val="0"/>
          <w:numId w:val="3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участвовать</w:t>
      </w:r>
      <w:r>
        <w:rPr>
          <w:rFonts w:ascii="Times New Roman" w:hAnsi="Times New Roman"/>
          <w:color w:val="222222"/>
          <w:sz w:val="24"/>
        </w:rPr>
        <w:t xml:space="preserve"> в проведение мероприятий по информированности о здоровом питании;</w:t>
      </w:r>
    </w:p>
    <w:p w14:paraId="17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4.2. Члены Комиссии несут персональную ответственность за невыполнение или ненадлежащее исполнение возложенных на них обязанностей.</w:t>
      </w:r>
    </w:p>
    <w:p w14:paraId="18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4.3. Комиссия несет ответственность за необъективную оценку, выставленную в результате проведения мероприятий по родительскому контролю за организацией питания обучающихся.</w:t>
      </w:r>
    </w:p>
    <w:p w14:paraId="19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b w:val="1"/>
          <w:color w:val="222222"/>
          <w:sz w:val="24"/>
        </w:rPr>
        <w:t>5. Регламент работы Комиссии</w:t>
      </w:r>
    </w:p>
    <w:p w14:paraId="1A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5.1. Комиссия осуществляет свою деятельность в соответствии с </w:t>
      </w:r>
      <w:r>
        <w:rPr>
          <w:rFonts w:ascii="Times New Roman" w:hAnsi="Times New Roman"/>
          <w:i w:val="1"/>
          <w:color w:val="222222"/>
          <w:sz w:val="24"/>
        </w:rPr>
        <w:t>планом работы</w:t>
      </w:r>
      <w:r>
        <w:rPr>
          <w:rFonts w:ascii="Times New Roman" w:hAnsi="Times New Roman"/>
          <w:color w:val="222222"/>
          <w:sz w:val="24"/>
        </w:rPr>
        <w:t>, настоящим Положением и Порядком проведения мероприятий по родительскому контролю за организацией питания обучающихся.</w:t>
      </w:r>
    </w:p>
    <w:p w14:paraId="1B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5.2. Заседания Комиссии проводятся </w:t>
      </w:r>
      <w:r>
        <w:rPr>
          <w:rFonts w:ascii="Times New Roman" w:hAnsi="Times New Roman"/>
          <w:color w:val="222222"/>
          <w:sz w:val="24"/>
        </w:rPr>
        <w:t xml:space="preserve">по мере необходимости, но не реже одного раза </w:t>
      </w:r>
      <w:r>
        <w:rPr>
          <w:rFonts w:ascii="Times New Roman" w:hAnsi="Times New Roman"/>
          <w:color w:val="222222"/>
          <w:sz w:val="24"/>
        </w:rPr>
        <w:t>четверть</w:t>
      </w:r>
      <w:r>
        <w:rPr>
          <w:rFonts w:ascii="Times New Roman" w:hAnsi="Times New Roman"/>
          <w:color w:val="222222"/>
          <w:sz w:val="24"/>
        </w:rPr>
        <w:t xml:space="preserve"> в течение учебного года</w:t>
      </w:r>
      <w:r>
        <w:rPr>
          <w:rFonts w:ascii="Times New Roman" w:hAnsi="Times New Roman"/>
          <w:color w:val="222222"/>
          <w:sz w:val="24"/>
        </w:rPr>
        <w:t> и считаются правомочными, если на них присутствует </w:t>
      </w:r>
      <w:r>
        <w:rPr>
          <w:rFonts w:ascii="Times New Roman" w:hAnsi="Times New Roman"/>
          <w:color w:val="222222"/>
          <w:sz w:val="24"/>
        </w:rPr>
        <w:t>не менее 2/3 ее членов</w:t>
      </w:r>
      <w:r>
        <w:rPr>
          <w:rFonts w:ascii="Times New Roman" w:hAnsi="Times New Roman"/>
          <w:color w:val="222222"/>
          <w:sz w:val="24"/>
        </w:rPr>
        <w:t>.</w:t>
      </w:r>
    </w:p>
    <w:p w14:paraId="1C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5.3. Заседания Комиссии оформляются </w:t>
      </w:r>
      <w:r>
        <w:rPr>
          <w:rFonts w:ascii="Times New Roman" w:hAnsi="Times New Roman"/>
          <w:color w:val="222222"/>
          <w:sz w:val="24"/>
        </w:rPr>
        <w:t>протоколом</w:t>
      </w:r>
      <w:r>
        <w:rPr>
          <w:rFonts w:ascii="Times New Roman" w:hAnsi="Times New Roman"/>
          <w:color w:val="222222"/>
          <w:sz w:val="24"/>
        </w:rPr>
        <w:t>. </w:t>
      </w:r>
      <w:r>
        <w:rPr>
          <w:rFonts w:ascii="Times New Roman" w:hAnsi="Times New Roman"/>
          <w:color w:val="222222"/>
          <w:sz w:val="24"/>
        </w:rPr>
        <w:t>Протоколы</w:t>
      </w:r>
      <w:r>
        <w:rPr>
          <w:rFonts w:ascii="Times New Roman" w:hAnsi="Times New Roman"/>
          <w:color w:val="222222"/>
          <w:sz w:val="24"/>
        </w:rPr>
        <w:t> подписываются председателем и членами Комиссии.</w:t>
      </w:r>
    </w:p>
    <w:p w14:paraId="1D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5.4. Решения Комиссии принимаются большинством голосов из числа присутствующих членов путем открытого голосования и оформляются </w:t>
      </w:r>
      <w:r>
        <w:rPr>
          <w:rFonts w:ascii="Times New Roman" w:hAnsi="Times New Roman"/>
          <w:i w:val="1"/>
          <w:color w:val="222222"/>
          <w:sz w:val="24"/>
        </w:rPr>
        <w:t>протоколом</w:t>
      </w:r>
      <w:r>
        <w:rPr>
          <w:rFonts w:ascii="Times New Roman" w:hAnsi="Times New Roman"/>
          <w:color w:val="222222"/>
          <w:sz w:val="24"/>
        </w:rPr>
        <w:t>.</w:t>
      </w:r>
    </w:p>
    <w:p w14:paraId="1E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5.5. О результатах своей работы Комиссия информирует:</w:t>
      </w:r>
    </w:p>
    <w:p w14:paraId="1F000000">
      <w:pPr>
        <w:numPr>
          <w:ilvl w:val="0"/>
          <w:numId w:val="4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администрацию</w:t>
      </w:r>
      <w:r>
        <w:rPr>
          <w:rFonts w:ascii="Times New Roman" w:hAnsi="Times New Roman"/>
          <w:color w:val="222222"/>
          <w:sz w:val="24"/>
        </w:rPr>
        <w:t xml:space="preserve"> образовательной организации – </w:t>
      </w:r>
      <w:r>
        <w:rPr>
          <w:rFonts w:ascii="Times New Roman" w:hAnsi="Times New Roman"/>
          <w:i w:val="1"/>
          <w:color w:val="222222"/>
          <w:sz w:val="24"/>
        </w:rPr>
        <w:t>один раз в четверть</w:t>
      </w:r>
      <w:r>
        <w:rPr>
          <w:rFonts w:ascii="Times New Roman" w:hAnsi="Times New Roman"/>
          <w:color w:val="222222"/>
          <w:sz w:val="24"/>
        </w:rPr>
        <w:t>;</w:t>
      </w:r>
    </w:p>
    <w:p w14:paraId="20000000">
      <w:pPr>
        <w:numPr>
          <w:ilvl w:val="0"/>
          <w:numId w:val="4"/>
        </w:numPr>
        <w:spacing w:after="0" w:line="240" w:lineRule="auto"/>
        <w:ind w:firstLine="0" w:left="990"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управляющий</w:t>
      </w:r>
      <w:r>
        <w:rPr>
          <w:rFonts w:ascii="Times New Roman" w:hAnsi="Times New Roman"/>
          <w:color w:val="222222"/>
          <w:sz w:val="24"/>
        </w:rPr>
        <w:t xml:space="preserve"> совет</w:t>
      </w:r>
      <w:r>
        <w:rPr>
          <w:rFonts w:ascii="Times New Roman" w:hAnsi="Times New Roman"/>
          <w:color w:val="222222"/>
          <w:sz w:val="24"/>
        </w:rPr>
        <w:t> – </w:t>
      </w:r>
      <w:r>
        <w:rPr>
          <w:rFonts w:ascii="Times New Roman" w:hAnsi="Times New Roman"/>
          <w:i w:val="1"/>
          <w:color w:val="222222"/>
          <w:sz w:val="24"/>
        </w:rPr>
        <w:t>один раз в полугодие</w:t>
      </w:r>
      <w:r>
        <w:rPr>
          <w:rFonts w:ascii="Times New Roman" w:hAnsi="Times New Roman"/>
          <w:color w:val="222222"/>
          <w:sz w:val="24"/>
        </w:rPr>
        <w:t>;</w:t>
      </w:r>
    </w:p>
    <w:p w14:paraId="21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>По итогам календарного года Комиссия готовит аналитическую справку для отчета по самообследованию образовательной организации.</w:t>
      </w:r>
    </w:p>
    <w:p w14:paraId="22000000">
      <w:pPr>
        <w:spacing w:after="0" w:line="240" w:lineRule="auto"/>
        <w:ind/>
        <w:jc w:val="both"/>
        <w:rPr>
          <w:rFonts w:ascii="Times New Roman" w:hAnsi="Times New Roman"/>
          <w:color w:val="222222"/>
          <w:sz w:val="24"/>
          <w:shd w:fill="FFFFCC" w:val="clear"/>
        </w:rPr>
      </w:pPr>
      <w:r>
        <w:rPr>
          <w:rFonts w:ascii="Times New Roman" w:hAnsi="Times New Roman"/>
          <w:color w:val="222222"/>
          <w:sz w:val="24"/>
        </w:rPr>
        <w:t xml:space="preserve">5.6. Итоги проверок обсуждаются на </w:t>
      </w:r>
      <w:r>
        <w:rPr>
          <w:rFonts w:ascii="Times New Roman" w:hAnsi="Times New Roman"/>
          <w:color w:val="222222"/>
          <w:sz w:val="24"/>
        </w:rPr>
        <w:t>общеродительских</w:t>
      </w:r>
      <w:r>
        <w:rPr>
          <w:rFonts w:ascii="Times New Roman" w:hAnsi="Times New Roman"/>
          <w:color w:val="222222"/>
          <w:sz w:val="24"/>
        </w:rPr>
        <w:t xml:space="preserve"> собраниях и могут явиться основанием для обращений в адрес администрации образовательной организации, ее учредителя и (или) оператора питания, органов контроля (надзора).</w:t>
      </w:r>
      <w:bookmarkStart w:id="1" w:name="_GoBack"/>
      <w:bookmarkEnd w:id="1"/>
    </w:p>
    <w:sectPr>
      <w:footerReference r:id="rId1" w:type="default"/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center"/>
    </w:pPr>
  </w:p>
  <w:p w14:paraId="02000000">
    <w:pPr>
      <w:pStyle w:val="Style_1"/>
    </w:pPr>
  </w:p>
</w:ft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bullet"/>
      <w:lvlText w:val=""/>
      <w:lvlJc w:val="left"/>
      <w:pPr>
        <w:tabs>
          <w:tab w:leader="none" w:pos="720" w:val="left"/>
        </w:tabs>
        <w:ind w:hanging="360" w:left="72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leader="none" w:pos="1440" w:val="left"/>
        </w:tabs>
        <w:ind w:hanging="360" w:left="144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leader="none" w:pos="2160" w:val="left"/>
        </w:tabs>
        <w:ind w:hanging="360" w:left="21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leader="none" w:pos="2880" w:val="left"/>
        </w:tabs>
        <w:ind w:hanging="360" w:left="288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leader="none" w:pos="3600" w:val="left"/>
        </w:tabs>
        <w:ind w:hanging="360" w:left="360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leader="none" w:pos="4320" w:val="left"/>
        </w:tabs>
        <w:ind w:hanging="360" w:left="432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leader="none" w:pos="5040" w:val="left"/>
        </w:tabs>
        <w:ind w:hanging="360" w:left="504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leader="none" w:pos="5760" w:val="left"/>
        </w:tabs>
        <w:ind w:hanging="360" w:left="57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leader="none" w:pos="6480" w:val="left"/>
        </w:tabs>
        <w:ind w:hanging="360" w:left="6480"/>
      </w:pPr>
      <w:rPr>
        <w:rFonts w:ascii="Wingdings" w:hAnsi="Wingdings"/>
        <w:sz w:val="20"/>
      </w:rPr>
    </w:lvl>
  </w:abstractNum>
  <w:abstractNum w:abstractNumId="1">
    <w:lvl w:ilvl="0">
      <w:start w:val="1"/>
      <w:numFmt w:val="bullet"/>
      <w:lvlText w:val=""/>
      <w:lvlJc w:val="left"/>
      <w:pPr>
        <w:tabs>
          <w:tab w:leader="none" w:pos="720" w:val="left"/>
        </w:tabs>
        <w:ind w:hanging="360" w:left="72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leader="none" w:pos="1440" w:val="left"/>
        </w:tabs>
        <w:ind w:hanging="360" w:left="144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leader="none" w:pos="2160" w:val="left"/>
        </w:tabs>
        <w:ind w:hanging="360" w:left="21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leader="none" w:pos="2880" w:val="left"/>
        </w:tabs>
        <w:ind w:hanging="360" w:left="288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leader="none" w:pos="3600" w:val="left"/>
        </w:tabs>
        <w:ind w:hanging="360" w:left="360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leader="none" w:pos="4320" w:val="left"/>
        </w:tabs>
        <w:ind w:hanging="360" w:left="432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leader="none" w:pos="5040" w:val="left"/>
        </w:tabs>
        <w:ind w:hanging="360" w:left="504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leader="none" w:pos="5760" w:val="left"/>
        </w:tabs>
        <w:ind w:hanging="360" w:left="57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leader="none" w:pos="6480" w:val="left"/>
        </w:tabs>
        <w:ind w:hanging="360" w:left="6480"/>
      </w:pPr>
      <w:rPr>
        <w:rFonts w:ascii="Wingdings" w:hAnsi="Wingdings"/>
        <w:sz w:val="20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leader="none" w:pos="720" w:val="left"/>
        </w:tabs>
        <w:ind w:hanging="360" w:left="72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leader="none" w:pos="1440" w:val="left"/>
        </w:tabs>
        <w:ind w:hanging="360" w:left="144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leader="none" w:pos="2160" w:val="left"/>
        </w:tabs>
        <w:ind w:hanging="360" w:left="21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leader="none" w:pos="2880" w:val="left"/>
        </w:tabs>
        <w:ind w:hanging="360" w:left="288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leader="none" w:pos="3600" w:val="left"/>
        </w:tabs>
        <w:ind w:hanging="360" w:left="360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leader="none" w:pos="4320" w:val="left"/>
        </w:tabs>
        <w:ind w:hanging="360" w:left="432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leader="none" w:pos="5040" w:val="left"/>
        </w:tabs>
        <w:ind w:hanging="360" w:left="504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leader="none" w:pos="5760" w:val="left"/>
        </w:tabs>
        <w:ind w:hanging="360" w:left="57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leader="none" w:pos="6480" w:val="left"/>
        </w:tabs>
        <w:ind w:hanging="360" w:left="6480"/>
      </w:pPr>
      <w:rPr>
        <w:rFonts w:ascii="Wingdings" w:hAnsi="Wingdings"/>
        <w:sz w:val="20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leader="none" w:pos="720" w:val="left"/>
        </w:tabs>
        <w:ind w:hanging="360" w:left="72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leader="none" w:pos="1440" w:val="left"/>
        </w:tabs>
        <w:ind w:hanging="360" w:left="144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leader="none" w:pos="2160" w:val="left"/>
        </w:tabs>
        <w:ind w:hanging="360" w:left="21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leader="none" w:pos="2880" w:val="left"/>
        </w:tabs>
        <w:ind w:hanging="360" w:left="288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leader="none" w:pos="3600" w:val="left"/>
        </w:tabs>
        <w:ind w:hanging="360" w:left="360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leader="none" w:pos="4320" w:val="left"/>
        </w:tabs>
        <w:ind w:hanging="360" w:left="432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leader="none" w:pos="5040" w:val="left"/>
        </w:tabs>
        <w:ind w:hanging="360" w:left="504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leader="none" w:pos="5760" w:val="left"/>
        </w:tabs>
        <w:ind w:hanging="360" w:left="57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leader="none" w:pos="6480" w:val="left"/>
        </w:tabs>
        <w:ind w:hanging="360" w:left="6480"/>
      </w:pPr>
      <w:rPr>
        <w:rFonts w:ascii="Wingdings" w:hAnsi="Wingdings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</w:style>
  <w:style w:default="1" w:styleId="Style_2_ch" w:type="character">
    <w:name w:val="Normal"/>
    <w:link w:val="Style_2"/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header"/>
    <w:basedOn w:val="Style_2"/>
    <w:link w:val="Style_4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4_ch" w:type="character">
    <w:name w:val="header"/>
    <w:basedOn w:val="Style_2_ch"/>
    <w:link w:val="Style_4"/>
  </w:style>
  <w:style w:styleId="Style_5" w:type="paragraph">
    <w:name w:val="toc 4"/>
    <w:next w:val="Style_2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fill"/>
    <w:basedOn w:val="Style_7"/>
    <w:link w:val="Style_6_ch"/>
  </w:style>
  <w:style w:styleId="Style_6_ch" w:type="character">
    <w:name w:val="fill"/>
    <w:basedOn w:val="Style_7_ch"/>
    <w:link w:val="Style_6"/>
  </w:style>
  <w:style w:styleId="Style_8" w:type="paragraph">
    <w:name w:val="toc 6"/>
    <w:next w:val="Style_2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2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Balloon Text"/>
    <w:basedOn w:val="Style_2"/>
    <w:link w:val="Style_10_ch"/>
    <w:pPr>
      <w:spacing w:after="0" w:line="240" w:lineRule="auto"/>
      <w:ind/>
    </w:pPr>
    <w:rPr>
      <w:rFonts w:ascii="Segoe UI" w:hAnsi="Segoe UI"/>
      <w:sz w:val="18"/>
    </w:rPr>
  </w:style>
  <w:style w:styleId="Style_10_ch" w:type="character">
    <w:name w:val="Balloon Text"/>
    <w:basedOn w:val="Style_2_ch"/>
    <w:link w:val="Style_10"/>
    <w:rPr>
      <w:rFonts w:ascii="Segoe UI" w:hAnsi="Segoe UI"/>
      <w:sz w:val="18"/>
    </w:rPr>
  </w:style>
  <w:style w:styleId="Style_11" w:type="paragraph">
    <w:name w:val="heading 3"/>
    <w:next w:val="Style_2"/>
    <w:link w:val="Style_11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1_ch" w:type="character">
    <w:name w:val="heading 3"/>
    <w:link w:val="Style_11"/>
    <w:rPr>
      <w:rFonts w:ascii="XO Thames" w:hAnsi="XO Thames"/>
      <w:b w:val="1"/>
      <w:sz w:val="26"/>
    </w:rPr>
  </w:style>
  <w:style w:styleId="Style_1" w:type="paragraph">
    <w:name w:val="footer"/>
    <w:basedOn w:val="Style_2"/>
    <w:link w:val="Style_1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1_ch" w:type="character">
    <w:name w:val="footer"/>
    <w:basedOn w:val="Style_2_ch"/>
    <w:link w:val="Style_1"/>
  </w:style>
  <w:style w:styleId="Style_12" w:type="paragraph">
    <w:name w:val="toc 3"/>
    <w:next w:val="Style_2"/>
    <w:link w:val="Style_12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2_ch" w:type="character">
    <w:name w:val="toc 3"/>
    <w:link w:val="Style_12"/>
    <w:rPr>
      <w:rFonts w:ascii="XO Thames" w:hAnsi="XO Thames"/>
      <w:sz w:val="28"/>
    </w:rPr>
  </w:style>
  <w:style w:styleId="Style_7" w:type="paragraph">
    <w:name w:val="Default Paragraph Font"/>
    <w:link w:val="Style_7_ch"/>
  </w:style>
  <w:style w:styleId="Style_7_ch" w:type="character">
    <w:name w:val="Default Paragraph Font"/>
    <w:link w:val="Style_7"/>
  </w:style>
  <w:style w:styleId="Style_13" w:type="paragraph">
    <w:name w:val="heading 5"/>
    <w:next w:val="Style_2"/>
    <w:link w:val="Style_1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3_ch" w:type="character">
    <w:name w:val="heading 5"/>
    <w:link w:val="Style_13"/>
    <w:rPr>
      <w:rFonts w:ascii="XO Thames" w:hAnsi="XO Thames"/>
      <w:b w:val="1"/>
      <w:sz w:val="22"/>
    </w:rPr>
  </w:style>
  <w:style w:styleId="Style_14" w:type="paragraph">
    <w:name w:val="heading 1"/>
    <w:next w:val="Style_2"/>
    <w:link w:val="Style_14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4_ch" w:type="character">
    <w:name w:val="heading 1"/>
    <w:link w:val="Style_14"/>
    <w:rPr>
      <w:rFonts w:ascii="XO Thames" w:hAnsi="XO Thames"/>
      <w:b w:val="1"/>
      <w:sz w:val="32"/>
    </w:rPr>
  </w:style>
  <w:style w:styleId="Style_15" w:type="paragraph">
    <w:name w:val="Hyperlink"/>
    <w:basedOn w:val="Style_7"/>
    <w:link w:val="Style_15_ch"/>
    <w:rPr>
      <w:color w:val="0000FF"/>
      <w:u w:val="single"/>
    </w:rPr>
  </w:style>
  <w:style w:styleId="Style_15_ch" w:type="character">
    <w:name w:val="Hyperlink"/>
    <w:basedOn w:val="Style_7_ch"/>
    <w:link w:val="Style_15"/>
    <w:rPr>
      <w:color w:val="0000FF"/>
      <w:u w:val="single"/>
    </w:rPr>
  </w:style>
  <w:style w:styleId="Style_16" w:type="paragraph">
    <w:name w:val="Footnote"/>
    <w:link w:val="Style_16_ch"/>
    <w:pPr>
      <w:ind w:firstLine="851" w:left="0"/>
      <w:jc w:val="both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next w:val="Style_2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Header and Footer"/>
    <w:link w:val="Style_18_ch"/>
    <w:pPr>
      <w:spacing w:line="240" w:lineRule="auto"/>
      <w:ind/>
      <w:jc w:val="both"/>
    </w:pPr>
    <w:rPr>
      <w:rFonts w:ascii="XO Thames" w:hAnsi="XO Thames"/>
      <w:sz w:val="20"/>
    </w:rPr>
  </w:style>
  <w:style w:styleId="Style_18_ch" w:type="character">
    <w:name w:val="Header and Footer"/>
    <w:link w:val="Style_18"/>
    <w:rPr>
      <w:rFonts w:ascii="XO Thames" w:hAnsi="XO Thames"/>
      <w:sz w:val="20"/>
    </w:rPr>
  </w:style>
  <w:style w:styleId="Style_19" w:type="paragraph">
    <w:name w:val="Normal (Web)"/>
    <w:basedOn w:val="Style_2"/>
    <w:link w:val="Style_19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19_ch" w:type="character">
    <w:name w:val="Normal (Web)"/>
    <w:basedOn w:val="Style_2_ch"/>
    <w:link w:val="Style_19"/>
    <w:rPr>
      <w:rFonts w:ascii="Times New Roman" w:hAnsi="Times New Roman"/>
      <w:sz w:val="24"/>
    </w:rPr>
  </w:style>
  <w:style w:styleId="Style_20" w:type="paragraph">
    <w:name w:val="toc 9"/>
    <w:next w:val="Style_2"/>
    <w:link w:val="Style_20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0_ch" w:type="character">
    <w:name w:val="toc 9"/>
    <w:link w:val="Style_20"/>
    <w:rPr>
      <w:rFonts w:ascii="XO Thames" w:hAnsi="XO Thames"/>
      <w:sz w:val="28"/>
    </w:rPr>
  </w:style>
  <w:style w:styleId="Style_21" w:type="paragraph">
    <w:name w:val="toc 8"/>
    <w:next w:val="Style_2"/>
    <w:link w:val="Style_2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1_ch" w:type="character">
    <w:name w:val="toc 8"/>
    <w:link w:val="Style_21"/>
    <w:rPr>
      <w:rFonts w:ascii="XO Thames" w:hAnsi="XO Thames"/>
      <w:sz w:val="28"/>
    </w:rPr>
  </w:style>
  <w:style w:styleId="Style_22" w:type="paragraph">
    <w:name w:val="toc 5"/>
    <w:next w:val="Style_2"/>
    <w:link w:val="Style_22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2_ch" w:type="character">
    <w:name w:val="toc 5"/>
    <w:link w:val="Style_22"/>
    <w:rPr>
      <w:rFonts w:ascii="XO Thames" w:hAnsi="XO Thames"/>
      <w:sz w:val="28"/>
    </w:rPr>
  </w:style>
  <w:style w:styleId="Style_23" w:type="paragraph">
    <w:name w:val="Subtitle"/>
    <w:next w:val="Style_2"/>
    <w:link w:val="Style_23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3_ch" w:type="character">
    <w:name w:val="Subtitle"/>
    <w:link w:val="Style_23"/>
    <w:rPr>
      <w:rFonts w:ascii="XO Thames" w:hAnsi="XO Thames"/>
      <w:i w:val="1"/>
      <w:sz w:val="24"/>
    </w:rPr>
  </w:style>
  <w:style w:styleId="Style_24" w:type="paragraph">
    <w:name w:val="Title"/>
    <w:next w:val="Style_2"/>
    <w:link w:val="Style_24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4_ch" w:type="character">
    <w:name w:val="Title"/>
    <w:link w:val="Style_24"/>
    <w:rPr>
      <w:rFonts w:ascii="XO Thames" w:hAnsi="XO Thames"/>
      <w:b w:val="1"/>
      <w:caps w:val="1"/>
      <w:sz w:val="40"/>
    </w:rPr>
  </w:style>
  <w:style w:styleId="Style_25" w:type="paragraph">
    <w:name w:val="heading 4"/>
    <w:next w:val="Style_2"/>
    <w:link w:val="Style_25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5_ch" w:type="character">
    <w:name w:val="heading 4"/>
    <w:link w:val="Style_25"/>
    <w:rPr>
      <w:rFonts w:ascii="XO Thames" w:hAnsi="XO Thames"/>
      <w:b w:val="1"/>
      <w:sz w:val="24"/>
    </w:rPr>
  </w:style>
  <w:style w:styleId="Style_26" w:type="paragraph">
    <w:name w:val="Strong"/>
    <w:basedOn w:val="Style_7"/>
    <w:link w:val="Style_26_ch"/>
    <w:rPr>
      <w:b w:val="1"/>
    </w:rPr>
  </w:style>
  <w:style w:styleId="Style_26_ch" w:type="character">
    <w:name w:val="Strong"/>
    <w:basedOn w:val="Style_7_ch"/>
    <w:link w:val="Style_26"/>
    <w:rPr>
      <w:b w:val="1"/>
    </w:rPr>
  </w:style>
  <w:style w:styleId="Style_27" w:type="paragraph">
    <w:name w:val="heading 2"/>
    <w:next w:val="Style_2"/>
    <w:link w:val="Style_27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7_ch" w:type="character">
    <w:name w:val="heading 2"/>
    <w:link w:val="Style_27"/>
    <w:rPr>
      <w:rFonts w:ascii="XO Thames" w:hAnsi="XO Thames"/>
      <w:b w:val="1"/>
      <w:sz w:val="28"/>
    </w:rPr>
  </w:style>
  <w:style w:default="1" w:styleId="Style_2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9" Target="numbering.xml" Type="http://schemas.openxmlformats.org/officeDocument/2006/relationships/numbering"/>
  <Relationship Id="rId8" Target="theme/theme1.xml" Type="http://schemas.openxmlformats.org/officeDocument/2006/relationships/theme"/>
  <Relationship Id="rId7" Target="webSettings.xml" Type="http://schemas.openxmlformats.org/officeDocument/2006/relationships/webSettings"/>
  <Relationship Id="rId6" Target="stylesWithEffects.xml" Type="http://schemas.microsoft.com/office/2007/relationships/stylesWithEffects"/>
  <Relationship Id="rId5" Target="styles.xml" Type="http://schemas.openxmlformats.org/officeDocument/2006/relationships/styles"/>
  <Relationship Id="rId4" Target="settings.xml" Type="http://schemas.openxmlformats.org/officeDocument/2006/relationships/settings"/>
  <Relationship Id="rId3" Target="fontTable.xml" Type="http://schemas.openxmlformats.org/officeDocument/2006/relationships/fontTable"/>
  <Relationship Id="rId2" Target="media/1.jpeg" Type="http://schemas.openxmlformats.org/officeDocument/2006/relationships/image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2023-10-10T05:30:57Z</dcterms:modified>
</cp:coreProperties>
</file>